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Pr="00A22DAF" w:rsidR="004B52DB" w:rsidTr="00331817" w14:paraId="4FB20E3B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A22DAF" w:rsidR="004B52DB" w:rsidP="00A22DAF" w:rsidRDefault="004B52DB" w14:paraId="4E027793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  <w:lang w:val="es-ES_tradnl"/>
              </w:rPr>
              <w:t xml:space="preserve">CODIGO TRD: </w:t>
            </w: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1.5</w:t>
            </w:r>
          </w:p>
        </w:tc>
      </w:tr>
      <w:tr w:rsidRPr="00A22DAF" w:rsidR="004B52DB" w:rsidTr="00331817" w14:paraId="5DD06DE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vAlign w:val="center"/>
          </w:tcPr>
          <w:p w:rsidRPr="00A22DAF" w:rsidR="0016097B" w:rsidP="00A22DAF" w:rsidRDefault="00000000" w14:paraId="7CD8C060" w14:textId="73401E35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ACTA</w:t>
            </w:r>
            <w:r w:rsidR="00A22DA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A22DAF">
              <w:rPr>
                <w:rFonts w:ascii="Arial Narrow" w:hAnsi="Arial Narrow"/>
                <w:sz w:val="22"/>
                <w:szCs w:val="22"/>
              </w:rPr>
              <w:t>No.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</w:p>
        </w:tc>
        <w:tc>
          <w:tcPr>
            <w:tcW w:w="2416" w:type="dxa"/>
            <w:tcBorders>
              <w:bottom w:val="single" w:color="auto" w:sz="4" w:space="0"/>
            </w:tcBorders>
            <w:vAlign w:val="center"/>
          </w:tcPr>
          <w:p w:rsidRPr="00A22DAF" w:rsidR="0016097B" w:rsidP="00A22DAF" w:rsidRDefault="00000000" w14:paraId="22592600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b/>
                <w:sz w:val="22"/>
                <w:szCs w:val="22"/>
              </w:rPr>
              <w:t>LUGAR: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Virtual</w:t>
            </w:r>
          </w:p>
        </w:tc>
        <w:tc>
          <w:tcPr>
            <w:tcW w:w="1938" w:type="dxa"/>
            <w:gridSpan w:val="2"/>
            <w:tcBorders>
              <w:bottom w:val="single" w:color="auto" w:sz="4" w:space="0"/>
            </w:tcBorders>
            <w:vAlign w:val="center"/>
          </w:tcPr>
          <w:p w:rsidRPr="00A22DAF" w:rsidR="0016097B" w:rsidP="00A22DAF" w:rsidRDefault="00000000" w14:paraId="5113A30B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b/>
                <w:sz w:val="22"/>
                <w:szCs w:val="22"/>
              </w:rPr>
              <w:t>FECHA: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21 de julio de 2026</w:t>
            </w:r>
          </w:p>
        </w:tc>
        <w:tc>
          <w:tcPr>
            <w:tcW w:w="1902" w:type="dxa"/>
            <w:tcBorders>
              <w:bottom w:val="single" w:color="auto" w:sz="4" w:space="0"/>
            </w:tcBorders>
            <w:vAlign w:val="center"/>
          </w:tcPr>
          <w:p w:rsidRPr="00A22DAF" w:rsidR="0016097B" w:rsidP="00A22DAF" w:rsidRDefault="00000000" w14:paraId="7962BD0D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b/>
                <w:sz w:val="22"/>
                <w:szCs w:val="22"/>
              </w:rPr>
              <w:t>HORA DE INICIO: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5:00 p.m.</w:t>
            </w:r>
          </w:p>
        </w:tc>
        <w:tc>
          <w:tcPr>
            <w:tcW w:w="1758" w:type="dxa"/>
            <w:tcBorders>
              <w:bottom w:val="single" w:color="auto" w:sz="4" w:space="0"/>
            </w:tcBorders>
            <w:vAlign w:val="center"/>
          </w:tcPr>
          <w:p w:rsidRPr="00A22DAF" w:rsidR="0016097B" w:rsidP="00A22DAF" w:rsidRDefault="00000000" w14:paraId="5BFB96AE" w14:textId="3FE6F8BE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b/>
                <w:sz w:val="22"/>
                <w:szCs w:val="22"/>
              </w:rPr>
              <w:t>HORA FINAL: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5:</w:t>
            </w:r>
            <w:r w:rsidR="00A22DAF">
              <w:rPr>
                <w:rFonts w:ascii="Arial Narrow" w:hAnsi="Arial Narrow"/>
                <w:sz w:val="22"/>
                <w:szCs w:val="22"/>
              </w:rPr>
              <w:t>3</w:t>
            </w:r>
            <w:r w:rsidRPr="00A22DAF">
              <w:rPr>
                <w:rFonts w:ascii="Arial Narrow" w:hAnsi="Arial Narrow"/>
                <w:sz w:val="22"/>
                <w:szCs w:val="22"/>
              </w:rPr>
              <w:t>0 p.m.</w:t>
            </w:r>
          </w:p>
        </w:tc>
      </w:tr>
      <w:tr w:rsidRPr="00A22DAF" w:rsidR="004B52DB" w:rsidTr="00331817" w14:paraId="5BA7EAED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A22DAF" w:rsidR="004B52DB" w:rsidP="00A22DAF" w:rsidRDefault="004B52DB" w14:paraId="2014DE7B" w14:textId="77777777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A22DAF" w:rsidR="004B52DB" w:rsidTr="00331817" w14:paraId="2E8DE756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A22DAF" w:rsidR="004B52DB" w:rsidP="00A22DAF" w:rsidRDefault="004B52DB" w14:paraId="53EC628F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OBJETO DE LA REUNION</w:t>
            </w:r>
          </w:p>
        </w:tc>
      </w:tr>
      <w:tr w:rsidRPr="00A22DAF" w:rsidR="004B52DB" w:rsidTr="00331817" w14:paraId="6AFD9262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vAlign w:val="center"/>
          </w:tcPr>
          <w:p w:rsidRPr="00A22DAF" w:rsidR="0016097B" w:rsidP="00A22DAF" w:rsidRDefault="00000000" w14:paraId="14F08A7D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Realizar una reunión preparatoria para la sesión del Mecanismo Especial de Seguimiento y Evaluación de las Políticas Públicas (MESEPP), con el propósito de revisar y organizar la información que sería presentada por el Ministerio TIC respecto de los compromisos y avances asociados al cumplimiento de la Sentencia T-302 de 2017.</w:t>
            </w:r>
          </w:p>
        </w:tc>
      </w:tr>
      <w:tr w:rsidRPr="00A22DAF" w:rsidR="004B52DB" w:rsidTr="00331817" w14:paraId="30C02C12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A22DAF" w:rsidR="004B52DB" w:rsidP="00A22DAF" w:rsidRDefault="004B52DB" w14:paraId="1CE5A38D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A22DAF" w:rsidR="004B52DB" w:rsidTr="00331817" w14:paraId="35A0942F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A22DAF" w:rsidR="004B52DB" w:rsidP="00A22DAF" w:rsidRDefault="004B52DB" w14:paraId="57676BD4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ORDEN DEL DÍA</w:t>
            </w:r>
          </w:p>
        </w:tc>
      </w:tr>
      <w:tr w:rsidRPr="00A22DAF" w:rsidR="004B52DB" w:rsidTr="00331817" w14:paraId="791E503D" w14:textId="7777777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:rsidRPr="00A22DAF" w:rsidR="0016097B" w:rsidP="00A22DAF" w:rsidRDefault="00000000" w14:paraId="6C61A5B0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1. Presentación del propósito de la reunión.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2. Revisión de la matriz de compromisos y avances del Ministerio TIC.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3. Verificación del estado de cumplimiento de las acciones relacionadas con la Sentencia T-302 de 2017.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4. Revisión de soportes documentales, observaciones, dificultades y riesgos.</w:t>
            </w:r>
            <w:r w:rsidRPr="00A22DAF">
              <w:rPr>
                <w:rFonts w:ascii="Arial Narrow" w:hAnsi="Arial Narrow"/>
                <w:sz w:val="22"/>
                <w:szCs w:val="22"/>
              </w:rPr>
              <w:br/>
            </w:r>
            <w:r w:rsidRPr="00A22DAF">
              <w:rPr>
                <w:rFonts w:ascii="Arial Narrow" w:hAnsi="Arial Narrow"/>
                <w:sz w:val="22"/>
                <w:szCs w:val="22"/>
              </w:rPr>
              <w:t>5. Definición de ajustes y cierre de la reunión.</w:t>
            </w:r>
          </w:p>
        </w:tc>
      </w:tr>
      <w:tr w:rsidRPr="00A22DAF" w:rsidR="004B52DB" w:rsidTr="00331817" w14:paraId="631BBF6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A22DAF" w:rsidR="004B52DB" w:rsidP="00A22DAF" w:rsidRDefault="004B52DB" w14:paraId="1AF92561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A22DAF" w:rsidR="004B52DB" w:rsidTr="00331817" w14:paraId="6D42AAC0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A22DAF" w:rsidR="004B52DB" w:rsidP="00A22DAF" w:rsidRDefault="004B52DB" w14:paraId="3A8A78A2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A22DAF" w:rsidR="004B52DB" w:rsidTr="00331817" w14:paraId="204844CE" w14:textId="77777777">
        <w:trPr>
          <w:trHeight w:val="463"/>
          <w:jc w:val="center"/>
        </w:trPr>
        <w:tc>
          <w:tcPr>
            <w:tcW w:w="647" w:type="dxa"/>
            <w:vAlign w:val="center"/>
          </w:tcPr>
          <w:p w:rsidRPr="00A22DAF" w:rsidR="004B52DB" w:rsidP="00A22DAF" w:rsidRDefault="004B52DB" w14:paraId="319D8807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:rsidRPr="00A22DAF" w:rsidR="004B52DB" w:rsidP="00A22DAF" w:rsidRDefault="004B52DB" w14:paraId="03784D30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A22DAF" w:rsidR="004B52DB" w:rsidP="00A22DAF" w:rsidRDefault="004B52DB" w14:paraId="3935D958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:rsidRPr="00A22DAF" w:rsidR="004B52DB" w:rsidP="00A22DAF" w:rsidRDefault="004B52DB" w14:paraId="61DFD391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ESTADO</w:t>
            </w:r>
          </w:p>
          <w:p w:rsidRPr="00A22DAF" w:rsidR="004B52DB" w:rsidP="00A22DAF" w:rsidRDefault="004B52DB" w14:paraId="62C45045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(Culminado – Pendiente – En proceso)</w:t>
            </w:r>
          </w:p>
        </w:tc>
      </w:tr>
      <w:tr w:rsidRPr="00A22DAF" w:rsidR="004B52DB" w:rsidTr="00331817" w14:paraId="371A634B" w14:textId="77777777">
        <w:trPr>
          <w:jc w:val="center"/>
        </w:trPr>
        <w:tc>
          <w:tcPr>
            <w:tcW w:w="647" w:type="dxa"/>
            <w:vAlign w:val="center"/>
          </w:tcPr>
          <w:p w:rsidRPr="00A22DAF" w:rsidR="0016097B" w:rsidP="00A22DAF" w:rsidRDefault="00000000" w14:paraId="0F844F3B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5444" w:type="dxa"/>
            <w:gridSpan w:val="3"/>
            <w:vAlign w:val="center"/>
          </w:tcPr>
          <w:p w:rsidRPr="00A22DAF" w:rsidR="0016097B" w:rsidP="00A22DAF" w:rsidRDefault="00000000" w14:paraId="61E04D58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Consolidar y actualizar la información institucional que será presentada en la sesión del MESEPP.</w:t>
            </w:r>
          </w:p>
        </w:tc>
        <w:tc>
          <w:tcPr>
            <w:tcW w:w="3755" w:type="dxa"/>
            <w:gridSpan w:val="3"/>
            <w:vAlign w:val="center"/>
          </w:tcPr>
          <w:p w:rsidRPr="00A22DAF" w:rsidR="0016097B" w:rsidP="00A22DAF" w:rsidRDefault="00000000" w14:paraId="75040AAC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En proceso</w:t>
            </w:r>
          </w:p>
        </w:tc>
      </w:tr>
      <w:tr w:rsidRPr="00A22DAF" w:rsidR="004B52DB" w:rsidTr="00331817" w14:paraId="51125405" w14:textId="77777777">
        <w:trPr>
          <w:jc w:val="center"/>
        </w:trPr>
        <w:tc>
          <w:tcPr>
            <w:tcW w:w="647" w:type="dxa"/>
            <w:vAlign w:val="center"/>
          </w:tcPr>
          <w:p w:rsidRPr="00A22DAF" w:rsidR="004B52DB" w:rsidP="00A22DAF" w:rsidRDefault="004B52DB" w14:paraId="0A600300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:rsidRPr="00A22DAF" w:rsidR="004B52DB" w:rsidP="00A22DAF" w:rsidRDefault="004B52DB" w14:paraId="205FC6CE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:rsidRPr="00A22DAF" w:rsidR="004B52DB" w:rsidP="00A22DAF" w:rsidRDefault="004B52DB" w14:paraId="155AA255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A22DAF" w:rsidR="004B52DB" w:rsidP="00A22DAF" w:rsidRDefault="004B52DB" w14:paraId="472E260C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846"/>
      </w:tblGrid>
      <w:tr w:rsidRPr="00A22DAF" w:rsidR="004B52DB" w:rsidTr="2D1B05C6" w14:paraId="6C153188" w14:textId="77777777">
        <w:trPr>
          <w:jc w:val="center"/>
        </w:trPr>
        <w:tc>
          <w:tcPr>
            <w:tcW w:w="9846" w:type="dxa"/>
            <w:tcMar/>
            <w:vAlign w:val="center"/>
          </w:tcPr>
          <w:p w:rsidRPr="00A22DAF" w:rsidR="004B52DB" w:rsidP="00A22DAF" w:rsidRDefault="004B52DB" w14:paraId="50767938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DESARROLLO DE LA REUNIÓN</w:t>
            </w:r>
          </w:p>
        </w:tc>
      </w:tr>
      <w:tr w:rsidRPr="00A22DAF" w:rsidR="004B52DB" w:rsidTr="2D1B05C6" w14:paraId="7A47562E" w14:textId="77777777">
        <w:trPr>
          <w:trHeight w:val="681"/>
          <w:jc w:val="center"/>
        </w:trPr>
        <w:tc>
          <w:tcPr>
            <w:tcW w:w="9846" w:type="dxa"/>
            <w:tcMar/>
            <w:vAlign w:val="center"/>
          </w:tcPr>
          <w:p w:rsidR="00A22DAF" w:rsidP="00A22DAF" w:rsidRDefault="00000000" w14:paraId="50ACC940" w14:textId="3AAC8406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El 21 de julio de 2026 se llevó a cabo una reunión virtual preparatoria para la sesión del MESEPP, con la participación de Doris Yamile Navarro Polania, Nelmary Johanna Pana Epieyu y Giannin</w:t>
            </w:r>
            <w:r w:rsidR="00A22DAF">
              <w:rPr>
                <w:rFonts w:ascii="Arial Narrow" w:hAnsi="Arial Narrow"/>
                <w:sz w:val="22"/>
                <w:szCs w:val="22"/>
              </w:rPr>
              <w:t>n</w:t>
            </w:r>
            <w:r w:rsidRPr="00A22DAF">
              <w:rPr>
                <w:rFonts w:ascii="Arial Narrow" w:hAnsi="Arial Narrow"/>
                <w:sz w:val="22"/>
                <w:szCs w:val="22"/>
              </w:rPr>
              <w:t>a María Camerano Velásquez. El espacio tuvo como finalidad revisar la matriz de seguimiento y organizar la información correspondiente a los compromisos y avances del Ministerio TIC en el marco de la Sentencia T-302 de 2017.</w:t>
            </w:r>
          </w:p>
          <w:p w:rsidR="00A22DAF" w:rsidP="00A22DAF" w:rsidRDefault="00A22DAF" w14:paraId="29DD760F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A22DAF" w:rsidP="00A22DAF" w:rsidRDefault="00000000" w14:paraId="79D2087C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 xml:space="preserve">Durante la reunión se revisó el estado actual de cumplimiento, registrado como "En ejecución", y se analizaron las principales acciones adelantadas por el Ministerio TIC para contribuir a la superación del Estado de Cosas Inconstitucional declarado respecto de los derechos fundamentales de </w:t>
            </w:r>
            <w:proofErr w:type="gramStart"/>
            <w:r w:rsidRPr="00A22DAF">
              <w:rPr>
                <w:rFonts w:ascii="Arial Narrow" w:hAnsi="Arial Narrow"/>
                <w:sz w:val="22"/>
                <w:szCs w:val="22"/>
              </w:rPr>
              <w:t>los niños y niñas</w:t>
            </w:r>
            <w:proofErr w:type="gramEnd"/>
            <w:r w:rsidRPr="00A22DAF">
              <w:rPr>
                <w:rFonts w:ascii="Arial Narrow" w:hAnsi="Arial Narrow"/>
                <w:sz w:val="22"/>
                <w:szCs w:val="22"/>
              </w:rPr>
              <w:t xml:space="preserve"> del pueblo indígena Wayúu en los municipios de Riohacha, Manaure, Maicao y Uribia.</w:t>
            </w:r>
          </w:p>
          <w:p w:rsidR="00A22DAF" w:rsidP="00A22DAF" w:rsidRDefault="00A22DAF" w14:paraId="5241A039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A22DAF" w:rsidP="00A22DAF" w:rsidRDefault="00000000" w14:paraId="1205834B" w14:textId="5E0CEADC">
            <w:pPr>
              <w:spacing w:line="276" w:lineRule="auto"/>
              <w:jc w:val="both"/>
            </w:pPr>
            <w:r w:rsidRPr="2D1B05C6" w:rsidR="00000000">
              <w:rPr>
                <w:rFonts w:ascii="Arial Narrow" w:hAnsi="Arial Narrow"/>
                <w:sz w:val="22"/>
                <w:szCs w:val="22"/>
              </w:rPr>
              <w:t>Entre los avances revisados se destacó el fortalecimiento del Sistema de Información Wayúu (SIW), incluida la centralización y difusión del acceso al sistema desde los portales institucionales, con el propósito de facilitar la consulta de información y los mecanismos de seguimiento relacionados con la Sentencia T-302 de 2017. También se verificaron las acciones de divulgación del enlace de acceso y la disponibilidad de información en canales oficiales.</w:t>
            </w:r>
          </w:p>
          <w:p w:rsidR="00A22DAF" w:rsidP="00A22DAF" w:rsidRDefault="00000000" w14:paraId="08C5A646" w14:textId="26F3E4C2">
            <w:pPr>
              <w:spacing w:line="276" w:lineRule="auto"/>
              <w:jc w:val="both"/>
            </w:pPr>
            <w:r>
              <w:br/>
            </w:r>
            <w:r>
              <w:br/>
            </w:r>
            <w:r w:rsidRPr="2D1B05C6" w:rsidR="00000000">
              <w:rPr>
                <w:rFonts w:ascii="Arial Narrow" w:hAnsi="Arial Narrow"/>
                <w:sz w:val="22"/>
                <w:szCs w:val="22"/>
              </w:rPr>
              <w:t xml:space="preserve">Asimismo, se revisaron las acciones de apropiación digital con enfoque diferencial, entre ellas la construcción de una </w:t>
            </w:r>
            <w:r w:rsidRPr="2D1B05C6" w:rsidR="00000000">
              <w:rPr>
                <w:rFonts w:ascii="Arial Narrow" w:hAnsi="Arial Narrow"/>
                <w:sz w:val="22"/>
                <w:szCs w:val="22"/>
              </w:rPr>
              <w:t xml:space="preserve">estrategia pedagógica en lengua Wayuunaiki, la elaboración de contenidos audiovisuales y la gestión de cuñas radiales mediante medios comunitarios. Se resaltó que estas acciones buscan mantener un diálogo genuino con las autoridades tradicionales y adaptar las actividades a las condiciones culturales, territoriales, de conectividad y disponibilidad de recursos de las comunidades </w:t>
            </w:r>
            <w:r w:rsidRPr="2D1B05C6" w:rsidR="00000000">
              <w:rPr>
                <w:rFonts w:ascii="Arial Narrow" w:hAnsi="Arial Narrow"/>
                <w:sz w:val="22"/>
                <w:szCs w:val="22"/>
              </w:rPr>
              <w:t>Wayúu</w:t>
            </w:r>
            <w:r w:rsidRPr="2D1B05C6" w:rsidR="00000000">
              <w:rPr>
                <w:rFonts w:ascii="Arial Narrow" w:hAnsi="Arial Narrow"/>
                <w:sz w:val="22"/>
                <w:szCs w:val="22"/>
              </w:rPr>
              <w:t>.</w:t>
            </w:r>
            <w:r w:rsidRPr="2D1B05C6" w:rsidR="00A22DAF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:rsidR="2D1B05C6" w:rsidP="2D1B05C6" w:rsidRDefault="2D1B05C6" w14:paraId="0BC9DC08" w14:textId="134120A2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A22DAF" w:rsidR="0016097B" w:rsidP="00A22DAF" w:rsidRDefault="00000000" w14:paraId="041A2698" w14:textId="218878D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Finalmente, se revisaron las columnas correspondientes al porcentaje de avance, fecha estimada de cumplimiento, observaciones, dificultades, riesgos y soportes documentales. Se acordó depurar la redacción de los avances, verificar los enlaces y evidencias disponibles y consolidar la información que serviría como insumo para la sesión del MESEPP.</w:t>
            </w: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Pr="00A22DAF" w:rsidR="004B52DB" w:rsidTr="00331817" w14:paraId="47AA8838" w14:textId="77777777">
        <w:trPr>
          <w:trHeight w:val="420"/>
        </w:trPr>
        <w:tc>
          <w:tcPr>
            <w:tcW w:w="5949" w:type="dxa"/>
            <w:vAlign w:val="center"/>
          </w:tcPr>
          <w:p w:rsidRPr="00A22DAF" w:rsidR="004B52DB" w:rsidP="00A22DAF" w:rsidRDefault="004B52DB" w14:paraId="1DC20F0F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:rsidRPr="00A22DAF" w:rsidR="004B52DB" w:rsidP="00A22DAF" w:rsidRDefault="004B52DB" w14:paraId="38C87F1A" w14:textId="77777777">
            <w:pPr>
              <w:spacing w:line="276" w:lineRule="auto"/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:rsidRPr="00A22DAF" w:rsidR="004B52DB" w:rsidP="00A22DAF" w:rsidRDefault="004B52DB" w14:paraId="7EC0DB50" w14:textId="77777777">
            <w:pPr>
              <w:spacing w:line="276" w:lineRule="auto"/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A22DAF" w:rsidR="004B52DB" w:rsidTr="00331817" w14:paraId="68DF107D" w14:textId="77777777">
        <w:trPr>
          <w:trHeight w:val="390"/>
        </w:trPr>
        <w:tc>
          <w:tcPr>
            <w:tcW w:w="5949" w:type="dxa"/>
            <w:vAlign w:val="center"/>
          </w:tcPr>
          <w:p w:rsidRPr="00A22DAF" w:rsidR="0016097B" w:rsidP="00A22DAF" w:rsidRDefault="0016097B" w14:paraId="7438A56E" w14:textId="4281F7E3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84" w:type="dxa"/>
            <w:vAlign w:val="center"/>
          </w:tcPr>
          <w:p w:rsidRPr="00A22DAF" w:rsidR="0016097B" w:rsidP="00A22DAF" w:rsidRDefault="0016097B" w14:paraId="3C2F6C0A" w14:textId="63EF1D3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Pr="00A22DAF" w:rsidR="0016097B" w:rsidP="00A22DAF" w:rsidRDefault="0016097B" w14:paraId="025097E0" w14:textId="6740A65D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A22DAF" w:rsidR="0016097B" w14:paraId="4C328B77" w14:textId="77777777">
        <w:tc>
          <w:tcPr>
            <w:tcW w:w="5949" w:type="dxa"/>
            <w:vAlign w:val="center"/>
          </w:tcPr>
          <w:p w:rsidRPr="00A22DAF" w:rsidR="0016097B" w:rsidP="00A22DAF" w:rsidRDefault="0016097B" w14:paraId="50887A61" w14:textId="0F0F95B6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84" w:type="dxa"/>
            <w:vAlign w:val="center"/>
          </w:tcPr>
          <w:p w:rsidRPr="00A22DAF" w:rsidR="0016097B" w:rsidP="00A22DAF" w:rsidRDefault="0016097B" w14:paraId="1ECBCC75" w14:textId="363B2064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Pr="00A22DAF" w:rsidR="0016097B" w:rsidP="00A22DAF" w:rsidRDefault="0016097B" w14:paraId="0B6F6997" w14:textId="155677AB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A22DAF" w:rsidR="004B52DB" w:rsidP="00A22DAF" w:rsidRDefault="004B52DB" w14:paraId="4A1D2441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Pr="00A22DAF" w:rsidR="004B52DB" w:rsidTr="00331817" w14:paraId="5D26D354" w14:textId="77777777">
        <w:trPr>
          <w:jc w:val="center"/>
        </w:trPr>
        <w:tc>
          <w:tcPr>
            <w:tcW w:w="9771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4B52DB" w:rsidP="00A22DAF" w:rsidRDefault="004B52DB" w14:paraId="5B04AB27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REGISTRO DE ASISTENCIA</w:t>
            </w:r>
          </w:p>
        </w:tc>
      </w:tr>
      <w:tr w:rsidRPr="00A22DAF" w:rsidR="004B52DB" w:rsidTr="00331817" w14:paraId="69D6D3D8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4B52DB" w:rsidP="00A22DAF" w:rsidRDefault="004B52DB" w14:paraId="35862764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4B52DB" w:rsidP="00A22DAF" w:rsidRDefault="004B52DB" w14:paraId="76A1F40D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4B52DB" w:rsidP="00A22DAF" w:rsidRDefault="004B52DB" w14:paraId="3E1C96ED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 w:eastAsia="Arial Narrow"/>
                <w:b/>
                <w:sz w:val="22"/>
                <w:szCs w:val="22"/>
              </w:rPr>
              <w:t>FIRMA</w:t>
            </w:r>
          </w:p>
        </w:tc>
      </w:tr>
      <w:tr w:rsidRPr="00A22DAF" w:rsidR="004B52DB" w:rsidTr="00331817" w14:paraId="256371A8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000000" w14:paraId="7189E5D3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Doris Yamile Navarro Polania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000000" w14:paraId="5242C01E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Profesional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16097B" w14:paraId="65D13176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A22DAF" w:rsidR="004B52DB" w:rsidTr="00331817" w14:paraId="4F68A6D8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000000" w14:paraId="730C022F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Nelmary Johanna Pana Epieyu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A22DAF" w14:paraId="2EBCC235" w14:textId="3CE6E82F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16097B" w14:paraId="1A732BEB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A22DAF" w:rsidR="004B52DB" w:rsidTr="00331817" w14:paraId="08E8BBAA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000000" w14:paraId="7CD58974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Giannina María Camerano Velásquez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000000" w14:paraId="270710F1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A22DAF">
              <w:rPr>
                <w:rFonts w:ascii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A22DAF" w:rsidR="0016097B" w:rsidP="00A22DAF" w:rsidRDefault="0016097B" w14:paraId="5521B34F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A22DAF" w:rsidR="004B52DB" w:rsidP="00A22DAF" w:rsidRDefault="004B52DB" w14:paraId="637413B1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77244A35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463FDC73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1AF8F1BC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5B5E777C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521AC71B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685548B3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4B52DB" w:rsidP="00A22DAF" w:rsidRDefault="004B52DB" w14:paraId="2AD2D877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p w:rsidRPr="00A22DAF" w:rsidR="0016097B" w:rsidP="00A22DAF" w:rsidRDefault="00000000" w14:paraId="75C7141C" w14:textId="77777777">
      <w:pPr>
        <w:spacing w:line="276" w:lineRule="auto"/>
        <w:rPr>
          <w:rFonts w:ascii="Arial Narrow" w:hAnsi="Arial Narrow"/>
          <w:sz w:val="22"/>
          <w:szCs w:val="22"/>
        </w:rPr>
      </w:pPr>
      <w:r w:rsidRPr="00A22DAF">
        <w:rPr>
          <w:rFonts w:ascii="Arial Narrow" w:hAnsi="Arial Narrow"/>
          <w:sz w:val="22"/>
          <w:szCs w:val="22"/>
        </w:rPr>
        <w:br w:type="page"/>
      </w:r>
    </w:p>
    <w:p w:rsidRPr="00A22DAF" w:rsidR="0016097B" w:rsidP="00A22DAF" w:rsidRDefault="00000000" w14:paraId="715B6FED" w14:textId="77777777">
      <w:pPr>
        <w:spacing w:line="276" w:lineRule="auto"/>
        <w:jc w:val="center"/>
        <w:rPr>
          <w:rFonts w:ascii="Arial Narrow" w:hAnsi="Arial Narrow"/>
          <w:sz w:val="22"/>
          <w:szCs w:val="22"/>
        </w:rPr>
      </w:pPr>
      <w:r w:rsidRPr="00A22DAF">
        <w:rPr>
          <w:rFonts w:ascii="Arial Narrow" w:hAnsi="Arial Narrow"/>
          <w:b/>
          <w:sz w:val="22"/>
          <w:szCs w:val="22"/>
        </w:rPr>
        <w:t>ANEXOS</w:t>
      </w:r>
    </w:p>
    <w:p w:rsidR="0016097B" w:rsidP="00A22DAF" w:rsidRDefault="00000000" w14:paraId="0304AB9A" w14:textId="77777777">
      <w:pPr>
        <w:spacing w:line="276" w:lineRule="auto"/>
        <w:jc w:val="center"/>
        <w:rPr>
          <w:rFonts w:ascii="Arial Narrow" w:hAnsi="Arial Narrow"/>
          <w:sz w:val="22"/>
          <w:szCs w:val="22"/>
        </w:rPr>
      </w:pPr>
      <w:r w:rsidRPr="00A22DAF">
        <w:rPr>
          <w:rFonts w:ascii="Arial Narrow" w:hAnsi="Arial Narrow"/>
          <w:noProof/>
          <w:sz w:val="22"/>
          <w:szCs w:val="22"/>
        </w:rPr>
        <w:drawing>
          <wp:inline distT="0" distB="0" distL="0" distR="0" wp14:anchorId="6537E3CC" wp14:editId="26547C22">
            <wp:extent cx="2849245" cy="5745480"/>
            <wp:effectExtent l="0" t="0" r="8255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20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9749" cy="5766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E0C" w:rsidP="00C86E0C" w:rsidRDefault="00C86E0C" w14:paraId="1DE0807A" w14:textId="2840F511">
      <w:pPr>
        <w:tabs>
          <w:tab w:val="center" w:pos="1468"/>
        </w:tabs>
        <w:spacing w:line="276" w:lineRule="auto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</w:p>
    <w:p w:rsidRPr="00A22DAF" w:rsidR="00A22DAF" w:rsidP="00C86E0C" w:rsidRDefault="00C86E0C" w14:paraId="5221F3EC" w14:textId="5F0659FA">
      <w:pPr>
        <w:tabs>
          <w:tab w:val="center" w:pos="1468"/>
        </w:tabs>
        <w:spacing w:line="276" w:lineRule="auto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drawing>
          <wp:anchor distT="0" distB="0" distL="114300" distR="114300" simplePos="0" relativeHeight="251658240" behindDoc="0" locked="0" layoutInCell="1" allowOverlap="1" wp14:anchorId="518E2C91" wp14:editId="4C83691B">
            <wp:simplePos x="0" y="0"/>
            <wp:positionH relativeFrom="column">
              <wp:posOffset>821055</wp:posOffset>
            </wp:positionH>
            <wp:positionV relativeFrom="paragraph">
              <wp:posOffset>53340</wp:posOffset>
            </wp:positionV>
            <wp:extent cx="3816985" cy="6088380"/>
            <wp:effectExtent l="0" t="0" r="0" b="7620"/>
            <wp:wrapSquare wrapText="bothSides"/>
            <wp:docPr id="86512659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126597" name="Imagen 86512659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5" cy="6088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sz w:val="22"/>
          <w:szCs w:val="22"/>
        </w:rPr>
        <w:br w:type="textWrapping" w:clear="all"/>
      </w:r>
    </w:p>
    <w:sectPr w:rsidRPr="00A22DAF" w:rsidR="00A22DAF" w:rsidSect="00C86E0C">
      <w:headerReference w:type="default" r:id="rId9"/>
      <w:footerReference w:type="default" r:id="rId10"/>
      <w:pgSz w:w="12242" w:h="15842" w:orient="portrait" w:code="1"/>
      <w:pgMar w:top="2410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C711D" w:rsidRDefault="00EC711D" w14:paraId="6754912D" w14:textId="77777777">
      <w:r>
        <w:separator/>
      </w:r>
    </w:p>
  </w:endnote>
  <w:endnote w:type="continuationSeparator" w:id="0">
    <w:p w:rsidR="00EC711D" w:rsidRDefault="00EC711D" w14:paraId="1968D1C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16097B" w:rsidRDefault="00000000" w14:paraId="65360E82" w14:textId="77777777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26BE3C2" wp14:editId="400D590D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16097B" w:rsidRDefault="00000000" w14:paraId="28ED4988" w14:textId="77777777">
                          <w:pPr>
                            <w:rPr>
                              <w:rFonts w:ascii="Calibri" w:hAnsi="Calibri" w:cs="Calibri"/>
                              <w:color w:val="00000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3F17A247">
            <v:shapetype id="_x0000_t202" coordsize="21600,21600" o:spt="202" path="m,l,21600r21600,l21600,xe" w14:anchorId="426BE3C2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Default="00000000" w14:paraId="1D632702" w14:textId="77777777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1E1DD0" wp14:editId="2D6AA97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16097B" w:rsidRDefault="00000000" w14:paraId="29554E25" w14:textId="77777777">
                          <w:pPr>
                            <w:jc w:val="center"/>
                            <w:rPr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16097B" w:rsidRDefault="0016097B" w14:paraId="48A39C2F" w14:textId="77777777">
                          <w:pPr>
                            <w:rPr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16097B" w:rsidRDefault="0016097B" w14:paraId="47ABA080" w14:textId="77777777">
                          <w:pPr>
                            <w:rPr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16097B" w:rsidRDefault="0016097B" w14:paraId="1E3917C8" w14:textId="77777777">
                          <w:pPr>
                            <w:rPr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16097B" w:rsidRDefault="0016097B" w14:paraId="0F521FDD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16097B" w:rsidRDefault="0016097B" w14:paraId="5C9D0A5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128F5753"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5B1E1DD0">
              <v:textbox inset=",7.2pt,,7.2pt">
                <w:txbxContent>
                  <w:p w:rsidRPr="00AB7677" w:rsidRDefault="00000000" w14:paraId="3DA5CDBA" w14:textId="77777777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Default="00000000" w14:paraId="1CD21F1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43FF192F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2C75EE87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434C6B56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Default="00000000" w14:paraId="65BEA83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16097B" w:rsidRDefault="00000000" w14:paraId="65D76BAA" w14:textId="77777777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F38867" wp14:editId="6CC4B9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16097B" w:rsidRDefault="0016097B" w14:paraId="71BF522D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16097B" w:rsidRDefault="00000000" w14:paraId="53C06F39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16097B" w:rsidRDefault="00000000" w14:paraId="1877C6AF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B73287D"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6FF38867">
                      <v:textbox inset="0,0,0,0">
                        <w:txbxContent>
                          <w:p w:rsidRDefault="00000000" w14:paraId="16F29CA7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Default="00000000" w14:paraId="747070DB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Default="00000000" w14:paraId="18A6789F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Cs w:val="20"/>
              </w:rPr>
              <w:fldChar w:fldCharType="end"/>
            </w:r>
          </w:p>
        </w:sdtContent>
      </w:sdt>
    </w:sdtContent>
  </w:sdt>
  <w:p w:rsidRPr="00564A2B" w:rsidR="0016097B" w:rsidRDefault="0016097B" w14:paraId="144A3BD1" w14:textId="77777777">
    <w:pPr>
      <w:pStyle w:val="Piedepgina"/>
      <w:rPr>
        <w:rFonts w:ascii="Arial Narrow" w:hAnsi="Arial Narrow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C711D" w:rsidRDefault="00EC711D" w14:paraId="46A3091E" w14:textId="77777777">
      <w:r>
        <w:separator/>
      </w:r>
    </w:p>
  </w:footnote>
  <w:footnote w:type="continuationSeparator" w:id="0">
    <w:p w:rsidR="00EC711D" w:rsidRDefault="00EC711D" w14:paraId="0F919D4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9673BA" w14:paraId="7F99C02E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16097B" w:rsidRDefault="00000000" w14:paraId="43EC26B3" w14:textId="77777777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22F2967C" wp14:editId="4F83D522">
                <wp:extent cx="390525" cy="756099"/>
                <wp:effectExtent l="0" t="0" r="0" b="6350"/>
                <wp:docPr id="2046824891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16097B" w:rsidRDefault="00000000" w14:paraId="5595685C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16097B" w:rsidRDefault="00000000" w14:paraId="5FD16843" w14:textId="77777777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F945B23" wp14:editId="497902C4">
                <wp:extent cx="790575" cy="760684"/>
                <wp:effectExtent l="0" t="0" r="0" b="1905"/>
                <wp:docPr id="52266170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16097B" w:rsidRDefault="0016097B" w14:paraId="486EAFDA" w14:textId="77777777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hint="default" w:ascii="Arial Narrow" w:hAnsi="Arial Narrow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DB"/>
    <w:rsid w:val="00000000"/>
    <w:rsid w:val="000F5973"/>
    <w:rsid w:val="0012121D"/>
    <w:rsid w:val="0016097B"/>
    <w:rsid w:val="002C09DC"/>
    <w:rsid w:val="00440BB8"/>
    <w:rsid w:val="0045136E"/>
    <w:rsid w:val="004B52DB"/>
    <w:rsid w:val="00A22DAF"/>
    <w:rsid w:val="00C86E0C"/>
    <w:rsid w:val="00EA514F"/>
    <w:rsid w:val="00EC711D"/>
    <w:rsid w:val="2D1B05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546C88"/>
  <w15:chartTrackingRefBased/>
  <w15:docId w15:val="{4DC26D23-1196-4433-8E53-1D99B162A92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B52DB"/>
    <w:pPr>
      <w:spacing w:after="0" w:line="240" w:lineRule="auto"/>
    </w:pPr>
    <w:rPr>
      <w:rFonts w:ascii="Arial" w:hAnsi="Arial" w:eastAsia="Times New Roman" w:cs="Times New Roman"/>
      <w:kern w:val="0"/>
      <w:sz w:val="20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52D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52D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52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52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52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52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52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52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52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4B52D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4B52D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4B52D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4B52DB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4B52DB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4B52DB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4B52DB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4B52DB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4B52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52DB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4B52D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52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4B52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52DB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4B52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52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B52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52D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4B52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52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4B52DB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4B52DB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4B52DB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4B52DB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theme" Target="theme/theme1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ntTable" Target="fontTable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Giannina Camerano</dc:creator>
  <keywords/>
  <dc:description/>
  <lastModifiedBy>Diana Esperanza Luna Triana</lastModifiedBy>
  <revision>4</revision>
  <dcterms:created xsi:type="dcterms:W3CDTF">2026-07-23T00:57:00.0000000Z</dcterms:created>
  <dcterms:modified xsi:type="dcterms:W3CDTF">2026-07-27T16:25:25.0323210Z</dcterms:modified>
</coreProperties>
</file>